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FBB7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34D2FBB8" w14:textId="77777777"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BD6A18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1945D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9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.0</w:t>
      </w:r>
      <w:r w:rsidR="001945D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6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14:paraId="34D2FBB9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34D2FBBA" w14:textId="77777777"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34D2FBBB" w14:textId="77777777"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14:paraId="34D2FBBC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1945D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WKZ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</w:t>
      </w:r>
      <w:r w:rsidR="009E7615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1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/2018</w:t>
      </w:r>
      <w:r w:rsidR="00420C2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/NNW</w:t>
      </w:r>
    </w:p>
    <w:p w14:paraId="34D2FBBD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</w:t>
      </w:r>
    </w:p>
    <w:p w14:paraId="34D2FBBE" w14:textId="77777777" w:rsidR="00097607" w:rsidRPr="00A95D1C" w:rsidRDefault="00420C2C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UBEZPIECZENIA NNW 499 UCZESTNIKÓW STAŻY ZAWODOWYCH</w:t>
      </w:r>
    </w:p>
    <w:p w14:paraId="34D2FBBF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Wachlarz kompetencji zawodowych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14:paraId="34D2FBC0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1945D6">
        <w:rPr>
          <w:rFonts w:cs="Tahoma"/>
          <w:b/>
          <w:color w:val="000000" w:themeColor="text1"/>
          <w:kern w:val="36"/>
          <w:sz w:val="24"/>
          <w:szCs w:val="24"/>
        </w:rPr>
        <w:t>RPLU.12.04.0-06-0015/17</w:t>
      </w:r>
    </w:p>
    <w:p w14:paraId="34D2FBC1" w14:textId="77777777"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Oś priorytetowa 12</w:t>
      </w:r>
      <w:r w:rsidR="00BD6A18"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 </w:t>
      </w:r>
      <w:r>
        <w:rPr>
          <w:rFonts w:ascii="Calibri" w:eastAsia="Calibri" w:hAnsi="Calibri" w:cs="Tahoma"/>
          <w:b/>
          <w:color w:val="000000" w:themeColor="text1"/>
          <w:kern w:val="36"/>
        </w:rPr>
        <w:t>Edukacja, kwalifikacje i kompetencje</w:t>
      </w:r>
    </w:p>
    <w:p w14:paraId="34D2FBC2" w14:textId="77777777" w:rsidR="00BD6A18" w:rsidRPr="00A95D1C" w:rsidRDefault="001945D6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>
        <w:rPr>
          <w:rFonts w:ascii="Calibri" w:eastAsia="Calibri" w:hAnsi="Calibri" w:cs="Tahoma"/>
          <w:b/>
          <w:color w:val="000000" w:themeColor="text1"/>
          <w:kern w:val="36"/>
        </w:rPr>
        <w:t>Działanie 12.4 Kształcenie zawodowe</w:t>
      </w:r>
    </w:p>
    <w:p w14:paraId="34D2FBC3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14:paraId="34D2FBC4" w14:textId="77777777"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14:paraId="34D2FBC5" w14:textId="77777777"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34D2FBC7" w14:textId="77777777" w:rsidTr="003E4330">
        <w:tc>
          <w:tcPr>
            <w:tcW w:w="9429" w:type="dxa"/>
            <w:shd w:val="clear" w:color="auto" w:fill="D0CECE"/>
          </w:tcPr>
          <w:p w14:paraId="34D2FBC6" w14:textId="77777777"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14:paraId="34D2FBC8" w14:textId="77777777" w:rsidR="003E4330" w:rsidRDefault="001945D6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Fundacja Polskiej Akademii Nauk</w:t>
      </w:r>
    </w:p>
    <w:p w14:paraId="34D2FBC9" w14:textId="77777777" w:rsidR="003E4330" w:rsidRDefault="001945D6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ul. Plac Litewski 2</w:t>
      </w:r>
      <w:r w:rsidR="003E4330">
        <w:rPr>
          <w:rFonts w:cs="Tahoma"/>
          <w:kern w:val="36"/>
          <w:sz w:val="24"/>
          <w:szCs w:val="24"/>
        </w:rPr>
        <w:t xml:space="preserve">, </w:t>
      </w:r>
      <w:r>
        <w:rPr>
          <w:rFonts w:cs="Tahoma"/>
          <w:kern w:val="36"/>
          <w:sz w:val="24"/>
          <w:szCs w:val="24"/>
        </w:rPr>
        <w:t>20-080 Lublin</w:t>
      </w:r>
    </w:p>
    <w:p w14:paraId="34D2FBCA" w14:textId="77777777"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1945D6">
        <w:rPr>
          <w:rFonts w:cs="Tahoma"/>
          <w:kern w:val="36"/>
          <w:sz w:val="24"/>
          <w:szCs w:val="24"/>
        </w:rPr>
        <w:t>71227973</w:t>
      </w:r>
      <w:r w:rsidR="001945D6" w:rsidRPr="001945D6">
        <w:rPr>
          <w:rFonts w:cs="Tahoma"/>
          <w:kern w:val="36"/>
          <w:sz w:val="24"/>
          <w:szCs w:val="24"/>
        </w:rPr>
        <w:t>97</w:t>
      </w:r>
    </w:p>
    <w:p w14:paraId="34D2FBCB" w14:textId="77777777"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 w:rsidR="001945D6">
        <w:rPr>
          <w:rFonts w:cs="Tahoma"/>
          <w:kern w:val="36"/>
          <w:sz w:val="24"/>
          <w:szCs w:val="24"/>
        </w:rPr>
        <w:t>432657205</w:t>
      </w:r>
    </w:p>
    <w:p w14:paraId="34D2FBCC" w14:textId="5F0C3940" w:rsidR="003E4330" w:rsidRDefault="003E4330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 „</w:t>
      </w:r>
      <w:r w:rsidR="001945D6">
        <w:rPr>
          <w:rFonts w:cs="Tahoma"/>
          <w:kern w:val="36"/>
          <w:sz w:val="24"/>
          <w:szCs w:val="24"/>
        </w:rPr>
        <w:t>Wachlarz kompetencji zawodowych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>
        <w:rPr>
          <w:rFonts w:cs="Tahoma"/>
          <w:kern w:val="36"/>
          <w:sz w:val="24"/>
          <w:szCs w:val="24"/>
        </w:rPr>
        <w:t xml:space="preserve"> </w:t>
      </w:r>
      <w:r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5D20BF">
        <w:rPr>
          <w:rFonts w:cs="Tahoma"/>
          <w:kern w:val="36"/>
          <w:sz w:val="24"/>
          <w:szCs w:val="24"/>
        </w:rPr>
        <w:t>Lubelskiego</w:t>
      </w:r>
      <w:bookmarkStart w:id="0" w:name="_GoBack"/>
      <w:bookmarkEnd w:id="0"/>
      <w:r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BD6A18">
        <w:rPr>
          <w:rFonts w:cs="Tahoma"/>
          <w:kern w:val="36"/>
          <w:sz w:val="24"/>
          <w:szCs w:val="24"/>
        </w:rPr>
        <w:t xml:space="preserve">Oś </w:t>
      </w:r>
      <w:r w:rsidR="001945D6">
        <w:rPr>
          <w:rFonts w:cs="Tahoma"/>
          <w:kern w:val="36"/>
          <w:sz w:val="24"/>
          <w:szCs w:val="24"/>
        </w:rPr>
        <w:t>priorytetowa 12</w:t>
      </w:r>
      <w:r w:rsidR="00BD6A18" w:rsidRPr="00BD6A18">
        <w:rPr>
          <w:rFonts w:cs="Tahoma"/>
          <w:kern w:val="36"/>
          <w:sz w:val="24"/>
          <w:szCs w:val="24"/>
        </w:rPr>
        <w:t xml:space="preserve"> </w:t>
      </w:r>
      <w:r w:rsidR="001945D6">
        <w:rPr>
          <w:rFonts w:cs="Tahoma"/>
          <w:kern w:val="36"/>
          <w:sz w:val="24"/>
          <w:szCs w:val="24"/>
        </w:rPr>
        <w:t>Edukacja, kwalifikacje i kompetencje Działanie 12.4 Kształcenie zawodowe</w:t>
      </w:r>
      <w:r w:rsidRPr="00097607">
        <w:rPr>
          <w:rFonts w:cs="Tahoma"/>
          <w:kern w:val="36"/>
          <w:sz w:val="24"/>
          <w:szCs w:val="24"/>
        </w:rPr>
        <w:t xml:space="preserve">, nr </w:t>
      </w:r>
      <w:r w:rsidR="001945D6">
        <w:rPr>
          <w:rFonts w:cs="Tahoma"/>
          <w:kern w:val="36"/>
          <w:sz w:val="24"/>
          <w:szCs w:val="24"/>
        </w:rPr>
        <w:t>RPLU.12.04.00-06-0015/17</w:t>
      </w:r>
      <w:r w:rsidRPr="00097607">
        <w:rPr>
          <w:rFonts w:cs="Tahoma"/>
          <w:kern w:val="36"/>
          <w:sz w:val="24"/>
          <w:szCs w:val="24"/>
        </w:rPr>
        <w:t>.</w:t>
      </w:r>
    </w:p>
    <w:p w14:paraId="34D2FBCD" w14:textId="77777777"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34D2FBCF" w14:textId="77777777" w:rsidTr="00FA4873">
        <w:tc>
          <w:tcPr>
            <w:tcW w:w="9778" w:type="dxa"/>
            <w:shd w:val="clear" w:color="auto" w:fill="D0CECE"/>
          </w:tcPr>
          <w:p w14:paraId="34D2FBCE" w14:textId="77777777"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14:paraId="34D2FBD0" w14:textId="77777777" w:rsidR="006D34DD" w:rsidRPr="006D34DD" w:rsidRDefault="00097607" w:rsidP="006D34DD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- </w:t>
      </w:r>
      <w:r w:rsidR="006D34DD" w:rsidRPr="006D34DD">
        <w:rPr>
          <w:rFonts w:ascii="Calibri" w:eastAsia="Calibri" w:hAnsi="Calibri" w:cs="Tahoma"/>
          <w:kern w:val="36"/>
          <w:sz w:val="24"/>
          <w:szCs w:val="24"/>
        </w:rPr>
        <w:t>Usługi ubezpieczenia od następstw nieszczęśliwych wypadków</w:t>
      </w:r>
    </w:p>
    <w:p w14:paraId="34D2FBD1" w14:textId="77777777" w:rsidR="00420C2C" w:rsidRPr="00420C2C" w:rsidRDefault="006D34DD" w:rsidP="006D34DD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6D34DD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1945D6" w:rsidRPr="001945D6">
        <w:rPr>
          <w:rFonts w:ascii="Calibri" w:eastAsia="Calibri" w:hAnsi="Calibri" w:cs="Tahoma"/>
          <w:kern w:val="36"/>
          <w:sz w:val="24"/>
          <w:szCs w:val="24"/>
        </w:rPr>
        <w:t xml:space="preserve">Kod CPV: </w:t>
      </w:r>
      <w:hyperlink r:id="rId8" w:history="1">
        <w:r w:rsidR="00420C2C" w:rsidRPr="00420C2C">
          <w:rPr>
            <w:rStyle w:val="Hipercze"/>
            <w:rFonts w:ascii="Calibri" w:eastAsia="Calibri" w:hAnsi="Calibri" w:cs="Tahoma"/>
            <w:color w:val="auto"/>
            <w:kern w:val="36"/>
            <w:sz w:val="24"/>
            <w:szCs w:val="24"/>
            <w:u w:val="none"/>
          </w:rPr>
          <w:t>66512100-3</w:t>
        </w:r>
      </w:hyperlink>
      <w:r w:rsidR="00420C2C" w:rsidRPr="00420C2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</w:p>
    <w:p w14:paraId="34D2FBD2" w14:textId="77777777" w:rsidR="008548DB" w:rsidRDefault="008548DB" w:rsidP="001945D6">
      <w:pPr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34D2FBD3" w14:textId="77777777" w:rsidR="00C81219" w:rsidRDefault="008548DB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</w:t>
      </w:r>
      <w:r w:rsidR="00420C2C">
        <w:rPr>
          <w:rFonts w:ascii="Calibri" w:eastAsia="Calibri" w:hAnsi="Calibri" w:cs="Tahoma"/>
          <w:kern w:val="36"/>
          <w:sz w:val="24"/>
          <w:szCs w:val="24"/>
        </w:rPr>
        <w:t xml:space="preserve">ubezpieczenie NNW dla </w:t>
      </w:r>
      <w:r w:rsidR="008120BD">
        <w:rPr>
          <w:rFonts w:ascii="Calibri" w:eastAsia="Calibri" w:hAnsi="Calibri" w:cs="Tahoma"/>
          <w:kern w:val="36"/>
          <w:sz w:val="24"/>
          <w:szCs w:val="24"/>
        </w:rPr>
        <w:t xml:space="preserve"> 499</w:t>
      </w:r>
      <w:r w:rsidR="001945D6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120BD">
        <w:rPr>
          <w:rFonts w:ascii="Calibri" w:eastAsia="Calibri" w:hAnsi="Calibri" w:cs="Tahoma"/>
          <w:kern w:val="36"/>
          <w:sz w:val="24"/>
          <w:szCs w:val="24"/>
        </w:rPr>
        <w:t>(250 uczestników w roku 2018 oraz 249 w roku 2019)  uczestników</w:t>
      </w:r>
      <w:r w:rsidR="001945D6">
        <w:rPr>
          <w:rFonts w:ascii="Calibri" w:eastAsia="Calibri" w:hAnsi="Calibri" w:cs="Tahoma"/>
          <w:kern w:val="36"/>
          <w:sz w:val="24"/>
          <w:szCs w:val="24"/>
        </w:rPr>
        <w:t xml:space="preserve"> staży zawodowych w ramach projektu „Wachlarz kompetencji zawodowych”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8120BD">
        <w:rPr>
          <w:rFonts w:ascii="Calibri" w:eastAsia="Calibri" w:hAnsi="Calibri" w:cs="Tahoma"/>
          <w:b/>
          <w:kern w:val="36"/>
          <w:sz w:val="24"/>
          <w:szCs w:val="24"/>
        </w:rPr>
        <w:t>499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C2301A">
        <w:rPr>
          <w:rFonts w:ascii="Calibri" w:eastAsia="Calibri" w:hAnsi="Calibri" w:cs="Tahoma"/>
          <w:b/>
          <w:kern w:val="36"/>
          <w:sz w:val="24"/>
          <w:szCs w:val="24"/>
        </w:rPr>
        <w:t xml:space="preserve">Uczestników/Uczestniczek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p</w:t>
      </w:r>
      <w:r w:rsidR="00097607" w:rsidRPr="00097607">
        <w:rPr>
          <w:rFonts w:ascii="Calibri" w:eastAsia="Calibri" w:hAnsi="Calibri" w:cs="Tahoma"/>
          <w:b/>
          <w:kern w:val="36"/>
          <w:sz w:val="24"/>
          <w:szCs w:val="24"/>
        </w:rPr>
        <w:t>rojektu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„</w:t>
      </w:r>
      <w:r w:rsidR="00C2301A">
        <w:rPr>
          <w:rFonts w:ascii="Calibri" w:eastAsia="Calibri" w:hAnsi="Calibri" w:cs="Tahoma"/>
          <w:b/>
          <w:kern w:val="36"/>
          <w:sz w:val="24"/>
          <w:szCs w:val="24"/>
        </w:rPr>
        <w:t>Wachlarz kompetencji zawodowych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” w</w:t>
      </w:r>
      <w:r w:rsidR="003B6B08">
        <w:rPr>
          <w:rFonts w:ascii="Calibri" w:eastAsia="Calibri" w:hAnsi="Calibri" w:cs="Tahoma"/>
          <w:b/>
          <w:kern w:val="36"/>
          <w:sz w:val="24"/>
          <w:szCs w:val="24"/>
        </w:rPr>
        <w:t>e wskazanym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zakresie:</w:t>
      </w:r>
    </w:p>
    <w:p w14:paraId="34D2FBD4" w14:textId="77777777" w:rsidR="003B6B08" w:rsidRDefault="003B6B08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b/>
          <w:kern w:val="36"/>
          <w:sz w:val="24"/>
          <w:szCs w:val="24"/>
        </w:rPr>
        <w:t xml:space="preserve">a) </w:t>
      </w:r>
      <w:r w:rsidR="00C2301A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</w:t>
      </w:r>
      <w:r w:rsidR="00420C2C">
        <w:rPr>
          <w:rFonts w:ascii="Calibri" w:eastAsia="Calibri" w:hAnsi="Calibri" w:cs="Tahoma"/>
          <w:kern w:val="36"/>
          <w:sz w:val="24"/>
          <w:szCs w:val="24"/>
        </w:rPr>
        <w:t>ubezpieczenie NNW uczestników staży zawodowych</w:t>
      </w:r>
      <w:r w:rsidR="00C2301A">
        <w:rPr>
          <w:rFonts w:ascii="Calibri" w:eastAsia="Calibri" w:hAnsi="Calibri" w:cs="Tahoma"/>
          <w:kern w:val="36"/>
          <w:sz w:val="24"/>
          <w:szCs w:val="24"/>
        </w:rPr>
        <w:t xml:space="preserve"> dla uczniów szkół:</w:t>
      </w:r>
    </w:p>
    <w:p w14:paraId="34D2FBD5" w14:textId="77777777"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ab/>
        <w:t xml:space="preserve">- Technikum nr 1 w ZSP nr 1 w Zamościu ul. Waleriana Łukasińskiego 8, 22-400 Zamość </w:t>
      </w:r>
    </w:p>
    <w:p w14:paraId="34D2FBD6" w14:textId="77777777" w:rsidR="00C2301A" w:rsidRDefault="00C2301A" w:rsidP="00420C2C">
      <w:pPr>
        <w:spacing w:after="0"/>
        <w:ind w:left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- Technikum nr 2 i Zasadniczej Szkoły Zawodowej nr 2  w ZSP nr 2  w Zamościu ul. S</w:t>
      </w:r>
      <w:r w:rsidR="00420C2C">
        <w:rPr>
          <w:rFonts w:ascii="Calibri" w:eastAsia="Calibri" w:hAnsi="Calibri" w:cs="Tahoma"/>
          <w:kern w:val="36"/>
          <w:sz w:val="24"/>
          <w:szCs w:val="24"/>
        </w:rPr>
        <w:t>zczebrzeska 41, 22-400 Zamość</w:t>
      </w:r>
    </w:p>
    <w:p w14:paraId="34D2FBD7" w14:textId="77777777" w:rsidR="00C2301A" w:rsidRDefault="00C2301A" w:rsidP="00C2301A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ab/>
        <w:t xml:space="preserve">- </w:t>
      </w:r>
      <w:r w:rsidR="00CB4286">
        <w:rPr>
          <w:rFonts w:ascii="Calibri" w:eastAsia="Calibri" w:hAnsi="Calibri" w:cs="Tahoma"/>
          <w:kern w:val="36"/>
          <w:sz w:val="24"/>
          <w:szCs w:val="24"/>
        </w:rPr>
        <w:t xml:space="preserve">Technikum nr 5 w ZSP nr 5 ul. Szczebrzeska 102, 22-400 Zamość </w:t>
      </w:r>
    </w:p>
    <w:p w14:paraId="34D2FBD8" w14:textId="77777777" w:rsidR="00742034" w:rsidRPr="003B6B08" w:rsidRDefault="00742034" w:rsidP="003B6B08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34D2FBD9" w14:textId="77777777"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p w14:paraId="34D2FBDA" w14:textId="77777777" w:rsidR="003B6B08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34D2FBDB" w14:textId="77777777"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Przedmiot zamówienia obejmuje </w:t>
      </w:r>
      <w:r w:rsidR="00420C2C">
        <w:rPr>
          <w:rFonts w:ascii="Calibri" w:eastAsia="Calibri" w:hAnsi="Calibri" w:cs="Tahoma"/>
          <w:kern w:val="36"/>
          <w:sz w:val="24"/>
          <w:szCs w:val="24"/>
        </w:rPr>
        <w:t>ubezpieczenie NNW na czas trwania staży zawodowych – 150 godzin</w:t>
      </w:r>
      <w:r w:rsidR="00420C2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dla 250 UP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(rok 2018)</w:t>
      </w:r>
      <w:r w:rsidR="00712418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Pozostali uczestnicy zostaną </w:t>
      </w:r>
      <w:r w:rsidR="008714A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objęci </w:t>
      </w:r>
      <w:r w:rsidR="00420C2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ubezpieczeni</w:t>
      </w:r>
      <w:r w:rsidR="008714A3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em </w:t>
      </w:r>
      <w:r w:rsidR="00420C2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8120BD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 roku 2019.</w:t>
      </w:r>
      <w:r w:rsidR="00CB428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</w:p>
    <w:p w14:paraId="34D2FBDC" w14:textId="77777777"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</w:t>
      </w:r>
      <w:r w:rsidR="008714A3">
        <w:rPr>
          <w:rFonts w:cs="Tahoma"/>
          <w:color w:val="000000" w:themeColor="text1"/>
          <w:kern w:val="36"/>
          <w:sz w:val="24"/>
          <w:szCs w:val="24"/>
        </w:rPr>
        <w:t>liwości realizacji stażu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.</w:t>
      </w:r>
    </w:p>
    <w:p w14:paraId="34D2FBDD" w14:textId="77777777"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420C2C">
        <w:rPr>
          <w:rFonts w:ascii="Calibri" w:eastAsia="Calibri" w:hAnsi="Calibri" w:cs="Tahoma"/>
          <w:kern w:val="36"/>
          <w:sz w:val="24"/>
          <w:szCs w:val="24"/>
        </w:rPr>
        <w:t xml:space="preserve">. Wykonawca przyjmuje do wiadomości że staże zawodowe trwają 150 godzin. Wykonawca ma zapewnić ubezpieczenie przez cały okres trwania stażu, wykonawca </w:t>
      </w:r>
      <w:r w:rsidR="008714A3">
        <w:rPr>
          <w:rFonts w:ascii="Calibri" w:eastAsia="Calibri" w:hAnsi="Calibri" w:cs="Tahoma"/>
          <w:kern w:val="36"/>
          <w:sz w:val="24"/>
          <w:szCs w:val="24"/>
        </w:rPr>
        <w:t>dopuszcza możliwość rozciągnięcia terminu trwania stażu przy jednoczesnym zachowania jego długości tzn. dopuścić musi możliwość że staże będą trwały przez okres np. 2 miesięcy itd.</w:t>
      </w:r>
    </w:p>
    <w:p w14:paraId="34D2FBDE" w14:textId="77777777"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34D2FBE0" w14:textId="77777777" w:rsidTr="00871E40">
        <w:tc>
          <w:tcPr>
            <w:tcW w:w="9429" w:type="dxa"/>
            <w:shd w:val="clear" w:color="auto" w:fill="D0CECE"/>
          </w:tcPr>
          <w:p w14:paraId="34D2FBDF" w14:textId="77777777"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14:paraId="34D2FBE1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670ADC"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="0071241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5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.0</w:t>
      </w:r>
      <w:r w:rsidR="00712418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6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14:paraId="34D2FBE2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>iście do siedziby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>Fundacja Polskiej Akademii Nauk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14:paraId="34D2FBE3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14:paraId="34D2FBE4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>p.kisiel@fundacja-pan.lublin.pl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14:paraId="34D2FBE5" w14:textId="77777777"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.doc, .docx, .jpg, .odt).</w:t>
      </w:r>
    </w:p>
    <w:p w14:paraId="34D2FBE6" w14:textId="77777777"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097607" w:rsidRPr="00097607" w14:paraId="34D2FBE8" w14:textId="77777777" w:rsidTr="00871E40">
        <w:tc>
          <w:tcPr>
            <w:tcW w:w="9429" w:type="dxa"/>
            <w:shd w:val="clear" w:color="auto" w:fill="D0CECE"/>
          </w:tcPr>
          <w:p w14:paraId="34D2FBE7" w14:textId="77777777"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14:paraId="34D2FBE9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14:paraId="34D2FBEA" w14:textId="77777777"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14:paraId="34D2FBEB" w14:textId="77777777" w:rsidR="00993103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Wykonawcy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którzy posiadają uprawnienia do wykonywania określonej działalności lub czynności, jeżeli przepisy prawa nakładają obowiązek ich posiadania</w:t>
      </w:r>
      <w:r w:rsidR="00993103">
        <w:rPr>
          <w:rFonts w:ascii="Calibri" w:eastAsia="Calibri" w:hAnsi="Calibri" w:cs="Tahoma"/>
          <w:kern w:val="36"/>
          <w:sz w:val="24"/>
          <w:szCs w:val="24"/>
        </w:rPr>
        <w:t>.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B42C8E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712418">
        <w:rPr>
          <w:rFonts w:ascii="Calibri" w:eastAsia="Calibri" w:hAnsi="Calibri" w:cs="Tahoma"/>
          <w:kern w:val="36"/>
          <w:sz w:val="24"/>
          <w:szCs w:val="24"/>
        </w:rPr>
        <w:t xml:space="preserve"> powinien posiadać niezbędną wiedzę i doświadczenie oraz dysponować osobami zdolnymi do wykonywania zamówienia.</w:t>
      </w:r>
    </w:p>
    <w:p w14:paraId="34D2FBEC" w14:textId="77777777"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14:paraId="34D2FBED" w14:textId="77777777"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lastRenderedPageBreak/>
        <w:t xml:space="preserve">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14:paraId="34D2FBEE" w14:textId="77777777"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14:paraId="34D2FBEF" w14:textId="77777777"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14:paraId="34D2FBF0" w14:textId="77777777" w:rsidR="00871E40" w:rsidRPr="00F61BCA" w:rsidRDefault="00871E40" w:rsidP="00871E40">
      <w:pPr>
        <w:ind w:left="-426" w:right="-710"/>
      </w:pPr>
    </w:p>
    <w:p w14:paraId="34D2FBF1" w14:textId="77777777"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14:paraId="34D2FBF2" w14:textId="77777777"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2FBF5" w14:textId="77777777" w:rsidR="006823FD" w:rsidRDefault="006823FD" w:rsidP="007C0750">
      <w:pPr>
        <w:spacing w:after="0" w:line="240" w:lineRule="auto"/>
      </w:pPr>
      <w:r>
        <w:separator/>
      </w:r>
    </w:p>
  </w:endnote>
  <w:endnote w:type="continuationSeparator" w:id="0">
    <w:p w14:paraId="34D2FBF6" w14:textId="77777777" w:rsidR="006823FD" w:rsidRDefault="006823F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FBF3" w14:textId="77777777" w:rsidR="006823FD" w:rsidRDefault="006823FD" w:rsidP="007C0750">
      <w:pPr>
        <w:spacing w:after="0" w:line="240" w:lineRule="auto"/>
      </w:pPr>
      <w:r>
        <w:separator/>
      </w:r>
    </w:p>
  </w:footnote>
  <w:footnote w:type="continuationSeparator" w:id="0">
    <w:p w14:paraId="34D2FBF4" w14:textId="77777777" w:rsidR="006823FD" w:rsidRDefault="006823F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FBF7" w14:textId="77777777"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34D2FBFB" wp14:editId="34D2FBFC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D2FBF8" w14:textId="77777777" w:rsidR="0046297D" w:rsidRDefault="0046297D" w:rsidP="00B42432">
    <w:pPr>
      <w:pStyle w:val="Nagwek"/>
    </w:pPr>
  </w:p>
  <w:p w14:paraId="34D2FBF9" w14:textId="77777777"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D2FBFD" wp14:editId="34D2FBFE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5C1B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14:paraId="34D2FBFA" w14:textId="77777777"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16A6F"/>
    <w:rsid w:val="00070762"/>
    <w:rsid w:val="00097607"/>
    <w:rsid w:val="000F39C6"/>
    <w:rsid w:val="000F75F5"/>
    <w:rsid w:val="00132BEF"/>
    <w:rsid w:val="00151429"/>
    <w:rsid w:val="001563A5"/>
    <w:rsid w:val="001945D6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343A97"/>
    <w:rsid w:val="00356F06"/>
    <w:rsid w:val="003854E4"/>
    <w:rsid w:val="003B6B08"/>
    <w:rsid w:val="003C1BDB"/>
    <w:rsid w:val="003E4330"/>
    <w:rsid w:val="004110F8"/>
    <w:rsid w:val="0041327C"/>
    <w:rsid w:val="00420C2C"/>
    <w:rsid w:val="00446D44"/>
    <w:rsid w:val="0046297D"/>
    <w:rsid w:val="00465386"/>
    <w:rsid w:val="004A5170"/>
    <w:rsid w:val="004E4FB0"/>
    <w:rsid w:val="004F2ED0"/>
    <w:rsid w:val="0051487B"/>
    <w:rsid w:val="00523B5C"/>
    <w:rsid w:val="00537824"/>
    <w:rsid w:val="005D20BF"/>
    <w:rsid w:val="005F6476"/>
    <w:rsid w:val="006262A5"/>
    <w:rsid w:val="00663C8D"/>
    <w:rsid w:val="00670ADC"/>
    <w:rsid w:val="006823FD"/>
    <w:rsid w:val="00683356"/>
    <w:rsid w:val="00684CC1"/>
    <w:rsid w:val="006A193E"/>
    <w:rsid w:val="006D34DD"/>
    <w:rsid w:val="006D5CE9"/>
    <w:rsid w:val="006E5D37"/>
    <w:rsid w:val="006F3ABB"/>
    <w:rsid w:val="00712418"/>
    <w:rsid w:val="007136C1"/>
    <w:rsid w:val="00717920"/>
    <w:rsid w:val="00742034"/>
    <w:rsid w:val="00746640"/>
    <w:rsid w:val="00776A63"/>
    <w:rsid w:val="007B444E"/>
    <w:rsid w:val="007C0750"/>
    <w:rsid w:val="007F02B8"/>
    <w:rsid w:val="007F4A84"/>
    <w:rsid w:val="008120BD"/>
    <w:rsid w:val="0081298F"/>
    <w:rsid w:val="008548DB"/>
    <w:rsid w:val="008714A3"/>
    <w:rsid w:val="00871E40"/>
    <w:rsid w:val="008D0E4E"/>
    <w:rsid w:val="00927D31"/>
    <w:rsid w:val="009511C7"/>
    <w:rsid w:val="00962310"/>
    <w:rsid w:val="00986FE8"/>
    <w:rsid w:val="00993103"/>
    <w:rsid w:val="009D03E9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F20C5"/>
    <w:rsid w:val="00B204C9"/>
    <w:rsid w:val="00B42432"/>
    <w:rsid w:val="00B42C8E"/>
    <w:rsid w:val="00B851DA"/>
    <w:rsid w:val="00BA1B14"/>
    <w:rsid w:val="00BC17C5"/>
    <w:rsid w:val="00BD6A18"/>
    <w:rsid w:val="00BE3163"/>
    <w:rsid w:val="00BF10F3"/>
    <w:rsid w:val="00C1620D"/>
    <w:rsid w:val="00C2301A"/>
    <w:rsid w:val="00C81219"/>
    <w:rsid w:val="00CA751A"/>
    <w:rsid w:val="00CB4286"/>
    <w:rsid w:val="00CC2BB0"/>
    <w:rsid w:val="00CD0600"/>
    <w:rsid w:val="00CD1584"/>
    <w:rsid w:val="00CD5E00"/>
    <w:rsid w:val="00D33CFC"/>
    <w:rsid w:val="00DF313B"/>
    <w:rsid w:val="00E049CC"/>
    <w:rsid w:val="00E2034B"/>
    <w:rsid w:val="00E330EF"/>
    <w:rsid w:val="00E46BFE"/>
    <w:rsid w:val="00E47423"/>
    <w:rsid w:val="00E77658"/>
    <w:rsid w:val="00E80ADF"/>
    <w:rsid w:val="00E93394"/>
    <w:rsid w:val="00EC5526"/>
    <w:rsid w:val="00EE5744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2FBB7"/>
  <w15:docId w15:val="{8AE2C514-E1C3-4111-93C2-2CEEB3B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45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45D6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20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ubezpieczenia-od-nastepstw-nieszczesliwych-wypadkow-7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B563-7AB3-4286-992E-C3F3A837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Fundacja  Polskiej Akademii Nauk</cp:lastModifiedBy>
  <cp:revision>4</cp:revision>
  <cp:lastPrinted>2018-03-21T09:20:00Z</cp:lastPrinted>
  <dcterms:created xsi:type="dcterms:W3CDTF">2019-08-30T07:18:00Z</dcterms:created>
  <dcterms:modified xsi:type="dcterms:W3CDTF">2019-08-30T07:34:00Z</dcterms:modified>
</cp:coreProperties>
</file>